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3.png" ContentType="image/png"/>
  <Override PartName="/word/media/rId68.png" ContentType="image/png"/>
  <Override PartName="/word/media/rId77.png" ContentType="image/png"/>
  <Override PartName="/word/media/rId81.png" ContentType="image/png"/>
  <Override PartName="/word/media/rId25.png" ContentType="image/png"/>
  <Override PartName="/word/media/rId37.png" ContentType="image/png"/>
  <Override PartName="/word/media/rId33.png" ContentType="image/png"/>
  <Override PartName="/word/media/rId50.png" ContentType="image/png"/>
  <Override PartName="/word/media/rId46.png" ContentType="image/png"/>
  <Override PartName="/word/media/rId55.png" ContentType="image/png"/>
  <Override PartName="/word/media/rId63.png" ContentType="image/png"/>
  <Override PartName="/word/media/rId41.png" ContentType="image/png"/>
  <Override PartName="/word/media/image1.jpg" ContentType="image/jpe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Technical Summary</w:t>
      </w:r>
    </w:p>
    <w:p>
      <w:pPr>
        <w:pStyle w:val="Date"/>
      </w:pPr>
      <w:r>
        <w:t xml:space="preserve">2025-09-18 07:45</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Abstract</w:t>
      </w:r>
    </w:p>
    <w:p>
      <w:pPr>
        <w:pStyle w:val="FirstParagraph"/>
      </w:pPr>
      <w:r>
        <w:t xml:space="preserve">The Bureau of Ocean Energy Management (BOEM) has developed the Marine Sensitivity Toolkit (MST), a cutting-edge, cloud-native system for assessing the relative environmental sensitivity of marine ecosystems to offshore energy development across U.S. waters. This toolkit integrates over 17,000 spatially explicit species distribution models, comprehensive extinction risk data, and satellite-based primary productivity to deliver a transparent, reproducible, and scalable assessment framework. The MST operates at a high-resolution 0.05° grid, enabling detailed, cell-by-cell analysis that captures nuanced ecological patterns often missed by previous coarse assessments. Sensitivity scoring combines species presence, extinction risk, and productivity, all rescaled within ecologically meaningful ecoregions. The MST is designed for transparency and rapid updates, ensuring that BOEM’s decisions are grounded in the best available science as mandated by Executive Order 14303: Restoring Gold Standard Science.</w:t>
      </w:r>
    </w:p>
    <w:bookmarkEnd w:id="20"/>
    <w:bookmarkStart w:id="21" w:name="background"/>
    <w:p>
      <w:pPr>
        <w:pStyle w:val="Heading1"/>
      </w:pPr>
      <w:r>
        <w:t xml:space="preserve">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offshore energy development. This analysis is essential for guiding the placement of energy infrastructure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 (BOEM 2018),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 (BOEM 2018) 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Objectives</w:t>
      </w:r>
    </w:p>
    <w:bookmarkEnd w:id="22"/>
    <w:bookmarkStart w:id="30" w:name="methods"/>
    <w:p>
      <w:pPr>
        <w:pStyle w:val="Heading1"/>
      </w:pPr>
      <w:r>
        <w:t xml:space="preserve">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is—and the less able it is to recover—the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sub>
        </m:sSub>
        <m:r>
          <m:t>c</m:t>
        </m:r>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 s 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4" w:name="data-sources-and-processing"/>
    <w:p>
      <w:pPr>
        <w:pStyle w:val="Heading3"/>
      </w:pPr>
      <w:r>
        <w:t xml:space="preserve">Data Sources and Processing</w:t>
      </w:r>
    </w:p>
    <w:p>
      <w:pPr>
        <w:pStyle w:val="FirstParagraph"/>
      </w:pPr>
      <w:r>
        <w:t xml:space="preserve">The MST draws on the best available data and methods:</w:t>
      </w:r>
    </w:p>
    <w:p>
      <w:pPr>
        <w:numPr>
          <w:ilvl w:val="0"/>
          <w:numId w:val="1002"/>
        </w:numPr>
      </w:pPr>
      <w:r>
        <w:rPr>
          <w:b/>
          <w:bCs/>
        </w:rPr>
        <w:t xml:space="preserve">Species Distribution Models</w:t>
      </w:r>
      <w:r>
        <w:t xml:space="preserve">: 17,550 models, primarily from AquaMaps, downscaled from 0.5° to 0.05° resolution.</w:t>
      </w:r>
    </w:p>
    <w:p>
      <w:pPr>
        <w:numPr>
          <w:ilvl w:val="0"/>
          <w:numId w:val="1002"/>
        </w:numPr>
      </w:pPr>
      <w:r>
        <w:rPr>
          <w:b/>
          <w:bCs/>
        </w:rPr>
        <w:t xml:space="preserve">Extinction Risk</w:t>
      </w:r>
      <w:r>
        <w:t xml:space="preserve">: IUCN Red List categories, with risk scores assigned as follows: Critically Endangered (1.0), Endangered (0.8), Vulnerable (0.6), Near Threatened (0.4), and Least Concern (0.2).</w:t>
      </w:r>
    </w:p>
    <w:p>
      <w:pPr>
        <w:numPr>
          <w:ilvl w:val="0"/>
          <w:numId w:val="1002"/>
        </w:numPr>
      </w:pPr>
      <w:r>
        <w:rPr>
          <w:b/>
          <w:bCs/>
        </w:rPr>
        <w:t xml:space="preserve">Primary Productivity</w:t>
      </w:r>
      <w:r>
        <w:t xml:space="preserve">: Net Primary Productivity (NPP) calculated using the Vertically Generalized Production Model (VGPM) with VIIRS satellite data for the most recently completed decade of model results year (2014 to 2023).</w:t>
      </w:r>
    </w:p>
    <w:p>
      <w:pPr>
        <w:pStyle w:val="FirstParagraph"/>
      </w:pPr>
      <w:r>
        <w:t xml:space="preserve">Scores from individual grid cells are aggregated to BOEM Planning Areas using area-weighted averages, providing sensitivity scores for each planning area.</w:t>
      </w:r>
    </w:p>
    <w:tbl>
      <w:tblPr>
        <w:tblStyle w:val="Table"/>
        <w:tblW w:type="pct" w:w="5000"/>
        <w:tblLayout w:type="fixed"/>
        <w:tblLook w:firstRow="0" w:lastRow="0" w:firstColumn="0" w:lastColumn="0" w:noHBand="0" w:noVBand="0" w:val="0000"/>
      </w:tblPr>
      <w:tblGrid>
        <w:gridCol w:w="7920"/>
      </w:tblGrid>
      <w:tr>
        <w:tc>
          <w:tcPr/>
          <w:bookmarkStart w:id="23" w:name="tbl-iucn-scores"/>
          <w:p>
            <w:pPr>
              <w:jc w:val="center"/>
            </w:pPr>
            <w:pPr>
              <w:jc w:val="star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5000"/>
              <w:tblLayout w:type="fixed"/>
              <w:tblLook w:firstRow="1" w:lastRow="0" w:firstColumn="0" w:lastColumn="0" w:noHBand="0" w:noVBand="0" w:val="0020"/>
            </w:tblPr>
            <w:tblGrid>
              <w:gridCol w:w="1131"/>
              <w:gridCol w:w="3908"/>
              <w:gridCol w:w="1645"/>
              <w:gridCol w:w="1234"/>
            </w:tblGrid>
            <w:tr>
              <w:trPr>
                <w:tblHeader w:val="on"/>
              </w:trPr>
              <w:tc>
                <w:tcPr/>
                <w:p>
                  <w:pPr>
                    <w:pStyle w:val="Compact"/>
                    <w:jc w:val="center"/>
                  </w:pPr>
                  <w:r>
                    <w:rPr>
                      <w:b/>
                      <w:bCs/>
                    </w:rPr>
                    <w:t xml:space="preserve">Code</w:t>
                  </w:r>
                </w:p>
              </w:tc>
              <w:tc>
                <w:tcPr/>
                <w:p>
                  <w:pPr>
                    <w:pStyle w:val="Compact"/>
                    <w:jc w:val="lef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left"/>
                    <w:jc w:val="center"/>
                  </w:pPr>
                  <w:r>
                    <w:t xml:space="preserve">Critically Endangered (IUCN)</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lef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left"/>
                    <w:jc w:val="center"/>
                  </w:pPr>
                  <w:r>
                    <w:t xml:space="preserve">Vulnerable (IUCN) / Threatened (ESA)</w:t>
                  </w:r>
                </w:p>
              </w:tc>
              <w:tc>
                <w:tcPr/>
                <w:p>
                  <w:pPr>
                    <w:pStyle w:val="Compact"/>
                    <w:jc w:val="center"/>
                  </w:pPr>
                  <w:r>
                    <w:t xml:space="preserve">0.6</w:t>
                  </w:r>
                </w:p>
              </w:tc>
              <w:tc>
                <w:tcPr/>
                <w:p>
                  <w:pPr>
                    <w:pStyle w:val="Compact"/>
                    <w:jc w:val="center"/>
                  </w:pPr>
                  <w:r>
                    <w:t xml:space="preserve">Moderate</w:t>
                  </w:r>
                </w:p>
              </w:tc>
            </w:tr>
            <w:tr>
              <w:tc>
                <w:tcPr/>
                <w:p>
                  <w:pPr>
                    <w:pStyle w:val="Compact"/>
                    <w:jc w:val="center"/>
                  </w:pPr>
                  <w:r>
                    <w:t xml:space="preserve">NT</w:t>
                  </w:r>
                </w:p>
              </w:tc>
              <w:tc>
                <w:tcPr/>
                <w:p>
                  <w:pPr>
                    <w:pStyle w:val="Compact"/>
                    <w:jc w:val="left"/>
                    <w:jc w:val="center"/>
                  </w:pPr>
                  <w:r>
                    <w:t xml:space="preserve">Near Threatened (IUCN)</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left"/>
                    <w:jc w:val="center"/>
                  </w:pPr>
                  <w:r>
                    <w:t xml:space="preserve">Least Concern (IUCN)</w:t>
                  </w:r>
                </w:p>
              </w:tc>
              <w:tc>
                <w:tcPr/>
                <w:p>
                  <w:pPr>
                    <w:pStyle w:val="Compact"/>
                    <w:jc w:val="center"/>
                  </w:pPr>
                  <w:r>
                    <w:t xml:space="preserve">0.2</w:t>
                  </w:r>
                </w:p>
              </w:tc>
              <w:tc>
                <w:tcPr/>
                <w:p>
                  <w:pPr>
                    <w:pStyle w:val="Compact"/>
                    <w:jc w:val="center"/>
                  </w:pPr>
                  <w:r>
                    <w:t xml:space="preserve">Lowest</w:t>
                  </w:r>
                </w:p>
              </w:tc>
            </w:tr>
          </w:tbl>
          <w:bookmarkEnd w:id="23"/>
          <w:p/>
        </w:tc>
      </w:tr>
    </w:tbl>
    <w:bookmarkEnd w:id="24"/>
    <w:bookmarkStart w:id="29" w:name="geographic-scope"/>
    <w:p>
      <w:pPr>
        <w:pStyle w:val="Heading3"/>
      </w:pPr>
      <w:r>
        <w:t xml:space="preserve">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providing detailed coverage across U.S. waters.</w:t>
      </w:r>
    </w:p>
    <w:tbl>
      <w:tblPr>
        <w:tblStyle w:val="Table"/>
        <w:tblW w:type="pct" w:w="5000"/>
        <w:tblLayout w:type="fixed"/>
        <w:tblLook w:firstRow="0" w:lastRow="0" w:firstColumn="0" w:lastColumn="0" w:noHBand="0" w:noVBand="0" w:val="0000"/>
      </w:tblPr>
      <w:tblGrid>
        <w:gridCol w:w="7920"/>
      </w:tblGrid>
      <w:tr>
        <w:tc>
          <w:tcPr/>
          <w:bookmarkStart w:id="28" w:name="fig-methods"/>
          <w:p>
            <w:pPr>
              <w:pStyle w:val="Compact"/>
              <w:jc w:val="center"/>
            </w:pPr>
            <w:r>
              <w:drawing>
                <wp:inline>
                  <wp:extent cx="5943600" cy="3340100"/>
                  <wp:effectExtent b="0" l="0" r="0" t="0"/>
                  <wp:docPr descr="" title="" id="26" name="Picture"/>
                  <a:graphic>
                    <a:graphicData uri="http://schemas.openxmlformats.org/drawingml/2006/picture">
                      <pic:pic>
                        <pic:nvPicPr>
                          <pic:cNvPr descr="figs/methodology.png" id="27" name="Picture"/>
                          <pic:cNvPicPr>
                            <a:picLocks noChangeArrowheads="1" noChangeAspect="1"/>
                          </pic:cNvPicPr>
                        </pic:nvPicPr>
                        <pic:blipFill>
                          <a:blip r:embed="rId25"/>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Environmental Sensitivity Score Methodology.</w:t>
            </w:r>
          </w:p>
          <w:bookmarkEnd w:id="28"/>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29"/>
    <w:bookmarkEnd w:id="30"/>
    <w:bookmarkStart w:id="108" w:name="results"/>
    <w:p>
      <w:pPr>
        <w:pStyle w:val="Heading1"/>
      </w:pPr>
      <w:r>
        <w:t xml:space="preserve">Results</w:t>
      </w:r>
    </w:p>
    <w:bookmarkStart w:id="32" w:name="species-distributions"/>
    <w:p>
      <w:pPr>
        <w:pStyle w:val="Heading2"/>
      </w:pPr>
      <w:r>
        <w:t xml:space="preserve">Species Distributions</w:t>
      </w:r>
    </w:p>
    <w:tbl>
      <w:tblPr>
        <w:tblStyle w:val="Table"/>
        <w:tblW w:type="pct" w:w="5000"/>
        <w:tblLayout w:type="fixed"/>
        <w:tblLook w:firstRow="0" w:lastRow="0" w:firstColumn="0" w:lastColumn="0" w:noHBand="0" w:noVBand="0" w:val="0000"/>
      </w:tblPr>
      <w:tblGrid>
        <w:gridCol w:w="7920"/>
      </w:tblGrid>
      <w:tr>
        <w:tc>
          <w:tcPr/>
          <w:bookmarkStart w:id="31" w:name="tbl-datasets"/>
          <w:p>
            <w:pPr>
              <w:jc w:val="center"/>
            </w:pPr>
            <w:pPr>
              <w:jc w:val="start"/>
              <w:spacing w:before="200"/>
              <w:pStyle w:val="ImageCaption"/>
            </w:pPr>
            <w:r>
              <w:t xml:space="preserve">Table 2: Datasets contributing to the study.</w:t>
            </w:r>
          </w:p>
          <w:tbl>
            <w:tblPr>
              <w:tblStyle w:val="Table"/>
              <w:tblW w:type="pct" w:w="4857"/>
              <w:tblLayout w:type="fixed"/>
              <w:tblLook w:firstRow="0" w:lastRow="0" w:firstColumn="0" w:lastColumn="0" w:noHBand="0" w:noVBand="0" w:val="0000"/>
            </w:tblPr>
            <w:tblGrid>
              <w:gridCol w:w="2413"/>
              <w:gridCol w:w="1131"/>
              <w:gridCol w:w="1206"/>
              <w:gridCol w:w="1131"/>
              <w:gridCol w:w="1810"/>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r>
            <w:tr>
              <w:tc>
                <w:tcPr/>
                <w:p>
                  <w:pPr>
                    <w:pStyle w:val="Compact"/>
                    <w:jc w:val="center"/>
                  </w:pPr>
                  <w:r>
                    <w:t xml:space="preserve">AquaMaps</w:t>
                  </w:r>
                </w:p>
              </w:tc>
              <w:tc>
                <w:tcPr/>
                <w:p>
                  <w:pPr>
                    <w:pStyle w:val="Compact"/>
                    <w:jc w:val="center"/>
                  </w:pPr>
                  <w:r>
                    <w:t xml:space="preserve">Suitability</w:t>
                  </w:r>
                  <w:r>
                    <w:br/>
                  </w:r>
                  <w:r>
                    <w:t xml:space="preserve">[1 - 100%]</w:t>
                  </w:r>
                </w:p>
              </w:tc>
              <w:tc>
                <w:tcPr/>
                <w:p>
                  <w:pPr>
                    <w:pStyle w:val="Compact"/>
                    <w:jc w:val="center"/>
                  </w:pPr>
                  <w:r>
                    <w:t xml:space="preserve">Global</w:t>
                  </w:r>
                </w:p>
              </w:tc>
              <w:tc>
                <w:tcPr/>
                <w:p>
                  <w:pPr>
                    <w:pStyle w:val="Compact"/>
                    <w:jc w:val="center"/>
                  </w:pPr>
                  <w:r>
                    <w:t xml:space="preserve">All,</w:t>
                  </w:r>
                  <w:r>
                    <w:br/>
                  </w:r>
                  <w:r>
                    <w:t xml:space="preserve">except birds</w:t>
                  </w:r>
                </w:p>
              </w:tc>
              <w:tc>
                <w:tcPr/>
                <w:p>
                  <w:pPr>
                    <w:pStyle w:val="Compact"/>
                    <w:jc w:val="center"/>
                  </w:pPr>
                  <w:r>
                    <w:t xml:space="preserve">16,871</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birds</w:t>
                  </w:r>
                </w:p>
              </w:tc>
              <w:tc>
                <w:tcPr/>
                <w:p>
                  <w:pPr>
                    <w:pStyle w:val="Compact"/>
                    <w:jc w:val="center"/>
                  </w:pPr>
                  <w:r>
                    <w:t xml:space="preserve">457</w:t>
                  </w:r>
                </w:p>
              </w:tc>
            </w:tr>
            <w:tr>
              <w:tc>
                <w:tcPr/>
                <w:p>
                  <w:pPr>
                    <w:pStyle w:val="Compact"/>
                    <w:jc w:val="center"/>
                  </w:pPr>
                  <w:r>
                    <w:t xml:space="preserve">NMFS Critical Habitat for USA</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92</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27</w:t>
                  </w:r>
                </w:p>
              </w:tc>
            </w:tr>
            <w:tr>
              <w:tc>
                <w:tcPr/>
                <w:p>
                  <w:pPr>
                    <w:pStyle w:val="Compact"/>
                    <w:jc w:val="center"/>
                  </w:pPr>
                  <w:r>
                    <w:t xml:space="preserve">FWS Current Range Maps</w:t>
                  </w:r>
                </w:p>
              </w:tc>
              <w:tc>
                <w:tcPr/>
                <w:p>
                  <w:pPr>
                    <w:pStyle w:val="Compact"/>
                    <w:jc w:val="center"/>
                  </w:pPr>
                  <w:r>
                    <w:t xml:space="preserve">Range</w:t>
                  </w:r>
                  <w:r>
                    <w:br/>
                  </w:r>
                  <w:r>
                    <w:t xml:space="preserve">[50%]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33</w:t>
                  </w:r>
                </w:p>
              </w:tc>
            </w:tr>
          </w:tbl>
          <w:bookmarkEnd w:id="31"/>
          <w:p/>
        </w:tc>
      </w:tr>
    </w:tbl>
    <w:bookmarkEnd w:id="32"/>
    <w:bookmarkStart w:id="45" w:name="primary-productivity"/>
    <w:p>
      <w:pPr>
        <w:pStyle w:val="Heading2"/>
      </w:pPr>
      <w:r>
        <w:t xml:space="preserve">Primary Productivity</w:t>
      </w:r>
    </w:p>
    <w:tbl>
      <w:tblPr>
        <w:tblStyle w:val="Table"/>
        <w:tblW w:type="pct" w:w="5000"/>
        <w:tblLayout w:type="fixed"/>
        <w:tblLook w:firstRow="0" w:lastRow="0" w:firstColumn="0" w:lastColumn="0" w:noHBand="0" w:noVBand="0" w:val="0000"/>
      </w:tblPr>
      <w:tblGrid>
        <w:gridCol w:w="7920"/>
      </w:tblGrid>
      <w:tr>
        <w:tc>
          <w:tcPr/>
          <w:bookmarkStart w:id="36" w:name="fig-map_cell_npp_l48"/>
          <w:p>
            <w:pPr>
              <w:pStyle w:val="Compact"/>
              <w:jc w:val="center"/>
            </w:pPr>
            <w:r>
              <w:drawing>
                <wp:inline>
                  <wp:extent cx="5943600" cy="3962400"/>
                  <wp:effectExtent b="0" l="0" r="0" t="0"/>
                  <wp:docPr descr="" title="" id="34" name="Picture"/>
                  <a:graphic>
                    <a:graphicData uri="http://schemas.openxmlformats.org/drawingml/2006/picture">
                      <pic:pic>
                        <pic:nvPicPr>
                          <pic:cNvPr descr="figs/msens-summary_env-national-ocs/map_cell_npp_l48.png" id="35"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of Contiguous US Primary Productivity by pixel.</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map_cell_npp_ak"/>
          <w:p>
            <w:pPr>
              <w:pStyle w:val="Compact"/>
              <w:jc w:val="center"/>
            </w:pPr>
            <w:r>
              <w:drawing>
                <wp:inline>
                  <wp:extent cx="5943600" cy="3962400"/>
                  <wp:effectExtent b="0" l="0" r="0" t="0"/>
                  <wp:docPr descr="" title="" id="38" name="Picture"/>
                  <a:graphic>
                    <a:graphicData uri="http://schemas.openxmlformats.org/drawingml/2006/picture">
                      <pic:pic>
                        <pic:nvPicPr>
                          <pic:cNvPr descr="figs/msens-summary_env-national-ocs/map_cell_npp_ak.png" id="39" name="Picture"/>
                          <pic:cNvPicPr>
                            <a:picLocks noChangeArrowheads="1" noChangeAspect="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of Alaska Primary Productivity by pixel.</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planarea_primprod"/>
          <w:p>
            <w:pPr>
              <w:pStyle w:val="Compact"/>
              <w:jc w:val="center"/>
            </w:pPr>
            <w:r>
              <w:drawing>
                <wp:inline>
                  <wp:extent cx="5943600" cy="3962400"/>
                  <wp:effectExtent b="0" l="0" r="0" t="0"/>
                  <wp:docPr descr="" title="" id="42" name="Picture"/>
                  <a:graphic>
                    <a:graphicData uri="http://schemas.openxmlformats.org/drawingml/2006/picture">
                      <pic:pic>
                        <pic:nvPicPr>
                          <pic:cNvPr descr="figs/msens-summary_env-national-ocs/planarea_primprod.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44"/>
        </w:tc>
      </w:tr>
    </w:tbl>
    <w:bookmarkEnd w:id="45"/>
    <w:bookmarkStart w:id="54" w:name="X3a3e5d9eaee8b26bc67dbe5a9e0b78bc2b9e542"/>
    <w:p>
      <w:pPr>
        <w:pStyle w:val="Heading2"/>
      </w:pPr>
      <w:r>
        <w:t xml:space="preserve">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49" w:name="fig-map_cell_score_l48"/>
          <w:p>
            <w:pPr>
              <w:pStyle w:val="Compact"/>
              <w:jc w:val="center"/>
            </w:pPr>
            <w:r>
              <w:drawing>
                <wp:inline>
                  <wp:extent cx="5943600" cy="3962400"/>
                  <wp:effectExtent b="0" l="0" r="0" t="0"/>
                  <wp:docPr descr="" title="" id="47" name="Picture"/>
                  <a:graphic>
                    <a:graphicData uri="http://schemas.openxmlformats.org/drawingml/2006/picture">
                      <pic:pic>
                        <pic:nvPicPr>
                          <pic:cNvPr descr="figs/msens-summary_env-national-ocs/map_cell_score_l48.png" id="48" name="Picture"/>
                          <pic:cNvPicPr>
                            <a:picLocks noChangeArrowheads="1" noChangeAspect="1"/>
                          </pic:cNvPicPr>
                        </pic:nvPicPr>
                        <pic:blipFill>
                          <a:blip r:embed="rId4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Map of Contiguous US scores by pixel.</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ap_cell_score_ak"/>
          <w:p>
            <w:pPr>
              <w:pStyle w:val="Compact"/>
              <w:jc w:val="center"/>
            </w:pPr>
            <w:r>
              <w:drawing>
                <wp:inline>
                  <wp:extent cx="5943600" cy="3962400"/>
                  <wp:effectExtent b="0" l="0" r="0" t="0"/>
                  <wp:docPr descr="" title="" id="51" name="Picture"/>
                  <a:graphic>
                    <a:graphicData uri="http://schemas.openxmlformats.org/drawingml/2006/picture">
                      <pic:pic>
                        <pic:nvPicPr>
                          <pic:cNvPr descr="figs/msens-summary_env-national-ocs/map_cell_score_ak.png" id="52" name="Picture"/>
                          <pic:cNvPicPr>
                            <a:picLocks noChangeArrowheads="1" noChangeAspect="1"/>
                          </pic:cNvPicPr>
                        </pic:nvPicPr>
                        <pic:blipFill>
                          <a:blip r:embed="rId5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Map of Alaska scores by pixel.</w:t>
            </w:r>
          </w:p>
          <w:bookmarkEnd w:id="53"/>
        </w:tc>
      </w:tr>
    </w:tbl>
    <w:bookmarkEnd w:id="54"/>
    <w:bookmarkStart w:id="62" w:name="X600977b38ccc40e2b965d26b86faca151f61504"/>
    <w:p>
      <w:pPr>
        <w:pStyle w:val="Heading2"/>
      </w:pPr>
      <w:r>
        <w:t xml:space="preserve">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58" w:name="fig-map_pa_l48"/>
          <w:p>
            <w:pPr>
              <w:pStyle w:val="Compact"/>
              <w:jc w:val="center"/>
            </w:pPr>
            <w:r>
              <w:drawing>
                <wp:inline>
                  <wp:extent cx="5943600" cy="3962400"/>
                  <wp:effectExtent b="0" l="0" r="0" t="0"/>
                  <wp:docPr descr="" title="" id="56" name="Picture"/>
                  <a:graphic>
                    <a:graphicData uri="http://schemas.openxmlformats.org/drawingml/2006/picture">
                      <pic:pic>
                        <pic:nvPicPr>
                          <pic:cNvPr descr="figs/msens-summary_env-national-ocs/map_pa_ak.png" id="57"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Map of Contiguous US scores by Planning Area.</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fig-map_pa_ak"/>
          <w:p>
            <w:pPr>
              <w:pStyle w:val="Compact"/>
              <w:jc w:val="center"/>
            </w:pPr>
            <w:r>
              <w:drawing>
                <wp:inline>
                  <wp:extent cx="5943600" cy="3962400"/>
                  <wp:effectExtent b="0" l="0" r="0" t="0"/>
                  <wp:docPr descr="" title="" id="59" name="Picture"/>
                  <a:graphic>
                    <a:graphicData uri="http://schemas.openxmlformats.org/drawingml/2006/picture">
                      <pic:pic>
                        <pic:nvPicPr>
                          <pic:cNvPr descr="figs/msens-summary_env-national-ocs/map_pa_ak.png" id="60"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Map of Alaska scores by Planning Area.</w:t>
            </w:r>
          </w:p>
          <w:bookmarkEnd w:id="61"/>
        </w:tc>
      </w:tr>
    </w:tbl>
    <w:bookmarkEnd w:id="62"/>
    <w:bookmarkStart w:id="67" w:name="X15373209145316797f42361f92c0494122d100b"/>
    <w:p>
      <w:pPr>
        <w:pStyle w:val="Heading2"/>
      </w:pPr>
      <w:r>
        <w:t xml:space="preserve">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6" w:name="fig-planarea_flower-plot_scores"/>
          <w:p>
            <w:pPr>
              <w:pStyle w:val="Compact"/>
              <w:jc w:val="center"/>
            </w:pPr>
            <w:r>
              <w:drawing>
                <wp:inline>
                  <wp:extent cx="5943600" cy="3962400"/>
                  <wp:effectExtent b="0" l="0" r="0" t="0"/>
                  <wp:docPr descr="" title="" id="64" name="Picture"/>
                  <a:graphic>
                    <a:graphicData uri="http://schemas.openxmlformats.org/drawingml/2006/picture">
                      <pic:pic>
                        <pic:nvPicPr>
                          <pic:cNvPr descr="figs/msens-summary_env-national-ocs/planarea_flower-plot_scores.png" id="65" name="Picture"/>
                          <pic:cNvPicPr>
                            <a:picLocks noChangeArrowheads="1" noChangeAspect="1"/>
                          </pic:cNvPicPr>
                        </pic:nvPicPr>
                        <pic:blipFill>
                          <a:blip r:embed="rId6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66"/>
        </w:tc>
      </w:tr>
    </w:tbl>
    <w:bookmarkEnd w:id="67"/>
    <w:bookmarkStart w:id="86" w:name="online-mapping-application"/>
    <w:p>
      <w:pPr>
        <w:pStyle w:val="Heading2"/>
      </w:pPr>
      <w:r>
        <w:t xml:space="preserve">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2" w:name="fig-app_mapgl-map"/>
          <w:p>
            <w:pPr>
              <w:pStyle w:val="Compact"/>
              <w:jc w:val="center"/>
            </w:pPr>
            <w:r>
              <w:drawing>
                <wp:inline>
                  <wp:extent cx="5943600" cy="3363996"/>
                  <wp:effectExtent b="0" l="0" r="0" t="0"/>
                  <wp:docPr descr="" title="" id="69" name="Picture"/>
                  <a:graphic>
                    <a:graphicData uri="http://schemas.openxmlformats.org/drawingml/2006/picture">
                      <pic:pic>
                        <pic:nvPicPr>
                          <pic:cNvPr descr="figs/boem-esi-2025/app_mapgl-map.png" id="70" name="Picture"/>
                          <pic:cNvPicPr>
                            <a:picLocks noChangeArrowheads="1" noChangeAspect="1"/>
                          </pic:cNvPicPr>
                        </pic:nvPicPr>
                        <pic:blipFill>
                          <a:blip r:embed="rId6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Screenshot of the main app:</w:t>
            </w:r>
            <w:r>
              <w:t xml:space="preserve"> </w:t>
            </w:r>
            <w:hyperlink r:id="rId71">
              <w:r>
                <w:rPr>
                  <w:rStyle w:val="Hyperlink"/>
                </w:rPr>
                <w:t xml:space="preserve">mapgl</w:t>
              </w:r>
            </w:hyperlink>
            <w:r>
              <w:t xml:space="preserve"> </w:t>
            </w:r>
            <w:r>
              <w:t xml:space="preserve">showing the raster score for all USA waters.</w:t>
            </w:r>
          </w:p>
          <w:bookmarkEnd w:id="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6" w:name="fig-app_mapgl-map-pa-socal-flower"/>
          <w:p>
            <w:pPr>
              <w:pStyle w:val="Compact"/>
              <w:jc w:val="center"/>
            </w:pPr>
            <w:r>
              <w:drawing>
                <wp:inline>
                  <wp:extent cx="5943600" cy="3363996"/>
                  <wp:effectExtent b="0" l="0" r="0" t="0"/>
                  <wp:docPr descr="" title="" id="74" name="Picture"/>
                  <a:graphic>
                    <a:graphicData uri="http://schemas.openxmlformats.org/drawingml/2006/picture">
                      <pic:pic>
                        <pic:nvPicPr>
                          <pic:cNvPr descr="figs/boem-esi-2025/app_mapgl-map-pa-socal-flower.png" id="75" name="Picture"/>
                          <pic:cNvPicPr>
                            <a:picLocks noChangeArrowheads="1" noChangeAspect="1"/>
                          </pic:cNvPicPr>
                        </pic:nvPicPr>
                        <pic:blipFill>
                          <a:blip r:embed="rId73"/>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Screenshot of the main app:</w:t>
            </w:r>
            <w:r>
              <w:t xml:space="preserve"> </w:t>
            </w:r>
            <w:hyperlink r:id="rId71">
              <w:r>
                <w:rPr>
                  <w:rStyle w:val="Hyperlink"/>
                </w:rPr>
                <w:t xml:space="preserve">mapgl</w:t>
              </w:r>
            </w:hyperlink>
            <w:r>
              <w:t xml:space="preserve"> </w:t>
            </w:r>
            <w:r>
              <w:t xml:space="preserve">showing the Planning Area with flower plot containing component scores as petals and overall score in the middle.</w:t>
            </w:r>
          </w:p>
          <w:bookmarkEnd w:id="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0" w:name="fig-app_mapgl-species"/>
          <w:p>
            <w:pPr>
              <w:pStyle w:val="Compact"/>
              <w:jc w:val="center"/>
            </w:pPr>
            <w:r>
              <w:drawing>
                <wp:inline>
                  <wp:extent cx="5943600" cy="3363996"/>
                  <wp:effectExtent b="0" l="0" r="0" t="0"/>
                  <wp:docPr descr="" title="" id="78" name="Picture"/>
                  <a:graphic>
                    <a:graphicData uri="http://schemas.openxmlformats.org/drawingml/2006/picture">
                      <pic:pic>
                        <pic:nvPicPr>
                          <pic:cNvPr descr="figs/boem-esi-2025/app_mapgl-species.png" id="79" name="Picture"/>
                          <pic:cNvPicPr>
                            <a:picLocks noChangeArrowheads="1" noChangeAspect="1"/>
                          </pic:cNvPicPr>
                        </pic:nvPicPr>
                        <pic:blipFill>
                          <a:blip r:embed="rId77"/>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Screenshot of the main app:</w:t>
            </w:r>
            <w:r>
              <w:t xml:space="preserve"> </w:t>
            </w:r>
            <w:hyperlink r:id="rId71">
              <w:r>
                <w:rPr>
                  <w:rStyle w:val="Hyperlink"/>
                </w:rPr>
                <w:t xml:space="preserve">mapgl</w:t>
              </w:r>
            </w:hyperlink>
            <w:r>
              <w:t xml:space="preserve"> </w:t>
            </w:r>
            <w:r>
              <w:t xml:space="preserve">showing the Species table. Clicking on the information icon explains the columns and how to interpret the values.</w:t>
            </w:r>
          </w:p>
          <w:bookmarkEnd w:id="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fig-app_mapsp-blue-whale"/>
          <w:p>
            <w:pPr>
              <w:pStyle w:val="Compact"/>
              <w:jc w:val="center"/>
            </w:pPr>
            <w:r>
              <w:drawing>
                <wp:inline>
                  <wp:extent cx="5943600" cy="3363996"/>
                  <wp:effectExtent b="0" l="0" r="0" t="0"/>
                  <wp:docPr descr="" title="" id="82" name="Picture"/>
                  <a:graphic>
                    <a:graphicData uri="http://schemas.openxmlformats.org/drawingml/2006/picture">
                      <pic:pic>
                        <pic:nvPicPr>
                          <pic:cNvPr descr="figs/boem-esi-2025/app_mapsp-blue-whale.png" id="83" name="Picture"/>
                          <pic:cNvPicPr>
                            <a:picLocks noChangeArrowheads="1" noChangeAspect="1"/>
                          </pic:cNvPicPr>
                        </pic:nvPicPr>
                        <pic:blipFill>
                          <a:blip r:embed="rId81"/>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Screenshot of the species distribution app:</w:t>
            </w:r>
            <w:r>
              <w:t xml:space="preserve"> </w:t>
            </w:r>
            <w:hyperlink r:id="rId84">
              <w:r>
                <w:rPr>
                  <w:rStyle w:val="Hyperlink"/>
                </w:rPr>
                <w:t xml:space="preserve">mapsp</w:t>
              </w:r>
            </w:hyperlink>
            <w:r>
              <w:t xml:space="preserve"> </w:t>
            </w:r>
            <w:r>
              <w:t xml:space="preserve">showing the species distribution, in this case for the blue whale which is globally distributed.</w:t>
            </w:r>
          </w:p>
          <w:bookmarkEnd w:id="85"/>
        </w:tc>
      </w:tr>
    </w:tbl>
    <w:p>
      <w:pPr>
        <w:pStyle w:val="BodyText"/>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86"/>
    <w:bookmarkStart w:id="107" w:name="reproducible-infrastructure"/>
    <w:p>
      <w:pPr>
        <w:pStyle w:val="Heading2"/>
      </w:pPr>
      <w:r>
        <w:t xml:space="preserve">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88" w:name="server"/>
    <w:p>
      <w:pPr>
        <w:pStyle w:val="Heading3"/>
      </w:pPr>
      <w:r>
        <w:t xml:space="preserve">Server</w:t>
      </w:r>
    </w:p>
    <w:p>
      <w:pPr>
        <w:pStyle w:val="FirstParagraph"/>
      </w:pPr>
      <w:hyperlink r:id="rId87">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88"/>
    <w:bookmarkStart w:id="89" w:name="database"/>
    <w:p>
      <w:pPr>
        <w:pStyle w:val="Heading3"/>
      </w:pPr>
      <w:r>
        <w:t xml:space="preserve">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89"/>
    <w:bookmarkStart w:id="91" w:name="workflows"/>
    <w:p>
      <w:pPr>
        <w:pStyle w:val="Heading3"/>
      </w:pPr>
      <w:r>
        <w:t xml:space="preserve">Workflows</w:t>
      </w:r>
    </w:p>
    <w:p>
      <w:pPr>
        <w:pStyle w:val="FirstParagraph"/>
      </w:pPr>
      <w:hyperlink r:id="rId90">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1"/>
    <w:bookmarkStart w:id="96" w:name="apis"/>
    <w:p>
      <w:pPr>
        <w:pStyle w:val="Heading3"/>
      </w:pPr>
      <w:r>
        <w:t xml:space="preserve">APIs</w:t>
      </w:r>
    </w:p>
    <w:p>
      <w:pPr>
        <w:pStyle w:val="FirstParagraph"/>
      </w:pPr>
      <w:hyperlink r:id="rId92">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93">
        <w:r>
          <w:rPr>
            <w:rStyle w:val="Hyperlink"/>
          </w:rPr>
          <w:t xml:space="preserve">tile.marinesensitivity.org</w:t>
        </w:r>
      </w:hyperlink>
      <w:r>
        <w:t xml:space="preserve"> </w:t>
      </w:r>
      <w:r>
        <w:t xml:space="preserve">(via pg_tileserv), raster tile API at</w:t>
      </w:r>
      <w:r>
        <w:t xml:space="preserve"> </w:t>
      </w:r>
      <w:hyperlink r:id="rId94">
        <w:r>
          <w:rPr>
            <w:rStyle w:val="Hyperlink"/>
          </w:rPr>
          <w:t xml:space="preserve">titiler.marinesensitivity.org</w:t>
        </w:r>
      </w:hyperlink>
      <w:r>
        <w:t xml:space="preserve"> </w:t>
      </w:r>
      <w:r>
        <w:t xml:space="preserve">(via TiTiler) or the custom API at</w:t>
      </w:r>
      <w:r>
        <w:t xml:space="preserve"> </w:t>
      </w:r>
      <w:hyperlink r:id="rId95">
        <w:r>
          <w:rPr>
            <w:rStyle w:val="Hyperlink"/>
          </w:rPr>
          <w:t xml:space="preserve">api.marinesensitivity.org</w:t>
        </w:r>
      </w:hyperlink>
      <w:r>
        <w:t xml:space="preserve"> </w:t>
      </w:r>
      <w:r>
        <w:t xml:space="preserve">(via Plumber).</w:t>
      </w:r>
    </w:p>
    <w:bookmarkEnd w:id="96"/>
    <w:bookmarkStart w:id="98" w:name="libraries"/>
    <w:p>
      <w:pPr>
        <w:pStyle w:val="Heading3"/>
      </w:pPr>
      <w:r>
        <w:t xml:space="preserve">Libraries</w:t>
      </w:r>
    </w:p>
    <w:p>
      <w:pPr>
        <w:pStyle w:val="FirstParagraph"/>
      </w:pPr>
      <w:hyperlink r:id="rId97">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97">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98"/>
    <w:bookmarkStart w:id="101" w:name="apps"/>
    <w:p>
      <w:pPr>
        <w:pStyle w:val="Heading3"/>
      </w:pPr>
      <w:r>
        <w:t xml:space="preserve">Apps</w:t>
      </w:r>
    </w:p>
    <w:p>
      <w:pPr>
        <w:pStyle w:val="FirstParagraph"/>
      </w:pPr>
      <w:hyperlink r:id="rId99">
        <w:r>
          <w:rPr>
            <w:rStyle w:val="Hyperlink"/>
          </w:rPr>
          <w:t xml:space="preserve">Apps</w:t>
        </w:r>
      </w:hyperlink>
      <w:r>
        <w:br/>
      </w:r>
      <w:r>
        <w:t xml:space="preserve">The applications have all been built with the R Shiny framework. From Phase 1, the core application is at</w:t>
      </w:r>
      <w:r>
        <w:t xml:space="preserve"> </w:t>
      </w:r>
      <w:hyperlink r:id="rId71">
        <w:r>
          <w:rPr>
            <w:rStyle w:val="Hyperlink"/>
          </w:rPr>
          <w:t xml:space="preserve">shiny.marinesensitivity.org/mapgl</w:t>
        </w:r>
      </w:hyperlink>
      <w:r>
        <w:t xml:space="preserve">, and links out to the individual species mapper</w:t>
      </w:r>
      <w:r>
        <w:t xml:space="preserve"> </w:t>
      </w:r>
      <w:hyperlink r:id="rId84">
        <w:r>
          <w:rPr>
            <w:rStyle w:val="Hyperlink"/>
          </w:rPr>
          <w:t xml:space="preserve">shiny.marinesensitivity.org/mapsp</w:t>
        </w:r>
      </w:hyperlink>
      <w:r>
        <w:t xml:space="preserve">. Other experimental applications can be found at</w:t>
      </w:r>
      <w:r>
        <w:t xml:space="preserve"> </w:t>
      </w:r>
      <w:hyperlink r:id="rId100">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1"/>
    <w:bookmarkStart w:id="103" w:name="docs"/>
    <w:p>
      <w:pPr>
        <w:pStyle w:val="Heading3"/>
      </w:pPr>
      <w:r>
        <w:t xml:space="preserve">Docs</w:t>
      </w:r>
    </w:p>
    <w:p>
      <w:pPr>
        <w:pStyle w:val="FirstParagraph"/>
      </w:pPr>
      <w:hyperlink r:id="rId102">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03"/>
    <w:bookmarkStart w:id="106" w:name="website"/>
    <w:p>
      <w:pPr>
        <w:pStyle w:val="Heading3"/>
      </w:pPr>
      <w:r>
        <w:t xml:space="preserve">Website</w:t>
      </w:r>
    </w:p>
    <w:p>
      <w:pPr>
        <w:pStyle w:val="FirstParagraph"/>
      </w:pPr>
      <w:hyperlink r:id="rId104">
        <w:r>
          <w:rPr>
            <w:rStyle w:val="Hyperlink"/>
            <w:b/>
            <w:bCs/>
          </w:rPr>
          <w:t xml:space="preserve">Website</w:t>
        </w:r>
      </w:hyperlink>
      <w:r>
        <w:br/>
      </w:r>
      <w:r>
        <w:t xml:space="preserve">The website</w:t>
      </w:r>
      <w:r>
        <w:t xml:space="preserve"> </w:t>
      </w:r>
      <w:hyperlink r:id="rId105">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06"/>
    <w:bookmarkEnd w:id="107"/>
    <w:bookmarkEnd w:id="108"/>
    <w:bookmarkStart w:id="133" w:name="conclusions"/>
    <w:p>
      <w:pPr>
        <w:pStyle w:val="Heading1"/>
      </w:pPr>
      <w:r>
        <w:t xml:space="preserve">Conclusions</w:t>
      </w:r>
    </w:p>
    <w:p>
      <w:pPr>
        <w:pStyle w:val="FirstParagraph"/>
      </w:pPr>
      <w:r>
        <w:t xml:space="preserve">As illustrated in</w:t>
      </w:r>
      <w:r>
        <w:t xml:space="preserve"> </w:t>
      </w:r>
      <w:hyperlink w:anchor="fig-map_cell_score_ak">
        <w:r>
          <w:rPr>
            <w:rStyle w:val="Hyperlink"/>
          </w:rPr>
          <w:t xml:space="preserve">Figure 6</w:t>
        </w:r>
      </w:hyperlink>
      <w:r>
        <w:t xml:space="preserve">, </w:t>
      </w:r>
      <w:hyperlink w:anchor="tbl-datasets">
        <w:r>
          <w:rPr>
            <w:rStyle w:val="Hyperlink"/>
          </w:rPr>
          <w:t xml:space="preserve">Table 2</w:t>
        </w:r>
      </w:hyperlink>
      <w:r>
        <w:t xml:space="preserve">…</w:t>
      </w:r>
    </w:p>
    <w:bookmarkStart w:id="132" w:name="next-steps"/>
    <w:p>
      <w:pPr>
        <w:pStyle w:val="Heading2"/>
      </w:pPr>
      <w:r>
        <w:t xml:space="preserve">Next Steps</w:t>
      </w:r>
    </w:p>
    <w:p>
      <w:pPr>
        <w:pStyle w:val="FirstParagraph"/>
      </w:pPr>
      <w:r>
        <w:t xml:space="preserve">The MST is designed to be a living system that can be updated as new data becomes available or as methodologies evolve. Future enhancements may include incorporating additional data sources and refining sensitivity scoring methods.</w:t>
      </w:r>
    </w:p>
    <w:bookmarkStart w:id="112" w:name="Xb69170c66c5402a434f0447f1d4ba6589416955"/>
    <w:p>
      <w:pPr>
        <w:pStyle w:val="Heading3"/>
      </w:pPr>
      <w:r>
        <w:t xml:space="preserve">Refinement and Expansion of Environmental Sensitivity Models</w:t>
      </w:r>
    </w:p>
    <w:p>
      <w:pPr>
        <w:pStyle w:val="FirstParagraph"/>
      </w:pPr>
      <w:r>
        <w:t xml:space="preserve">Currently, some models produce biologically unrealistic outputs (e.g., the Pacific Walrus model reflecting outdated historical extents). Therefore, we will revise and constrain species ranges using corroborating evidence from contemporary datasets, such as OBIS and GBIF occurrences. This will ensure all model outputs are based on validated, present-day species data.</w:t>
      </w:r>
    </w:p>
    <w:p>
      <w:pPr>
        <w:pStyle w:val="BodyText"/>
      </w:pPr>
      <w:r>
        <w:t xml:space="preserve">The AquaMaps dataset, although numerous with species distributions, sometimes includes historic extents and not present-day extents for which the species are currently found. In Phase 1, we did not have the resources to validate all species distributions, but in Phase 2, we will use the</w:t>
      </w:r>
      <w:r>
        <w:t xml:space="preserve"> </w:t>
      </w:r>
      <w:hyperlink r:id="rId109">
        <w:r>
          <w:rPr>
            <w:rStyle w:val="Hyperlink"/>
          </w:rPr>
          <w:t xml:space="preserve">OBIS</w:t>
        </w:r>
      </w:hyperlink>
      <w:r>
        <w:t xml:space="preserve"> </w:t>
      </w:r>
      <w:r>
        <w:t xml:space="preserve">and</w:t>
      </w:r>
      <w:r>
        <w:t xml:space="preserve"> </w:t>
      </w:r>
      <w:hyperlink r:id="rId110">
        <w:r>
          <w:rPr>
            <w:rStyle w:val="Hyperlink"/>
          </w:rPr>
          <w:t xml:space="preserve">GBIF</w:t>
        </w:r>
      </w:hyperlink>
      <w:r>
        <w:t xml:space="preserve"> </w:t>
      </w:r>
      <w:r>
        <w:t xml:space="preserve">occurrence data to validate the AquaMaps distributions. For instance, we will experiment with applying occurrence filters across different time windows (e.g. 10, 20 and 50 years) and to different areas (e.g., Ecoregions and Planning Areas). We will also compare results with other independent distributional datasets (e.g.,</w:t>
      </w:r>
      <w:r>
        <w:t xml:space="preserve"> </w:t>
      </w:r>
      <w:hyperlink r:id="rId111">
        <w:r>
          <w:rPr>
            <w:rStyle w:val="Hyperlink"/>
          </w:rPr>
          <w:t xml:space="preserve">IUCN Spatial range maps</w:t>
        </w:r>
      </w:hyperlink>
      <w:r>
        <w:t xml:space="preserve">). This will help us identify and correct aberrant species distributions within the models, such as the Pacific Walrus model reflecting outdated historical extents.</w:t>
      </w:r>
    </w:p>
    <w:bookmarkEnd w:id="112"/>
    <w:bookmarkStart w:id="120" w:name="Xf9e98f114fb87e1e7e07d375f27be7bee224475"/>
    <w:p>
      <w:pPr>
        <w:pStyle w:val="Heading3"/>
      </w:pPr>
      <w:r>
        <w:t xml:space="preserve">Enhancement and Utilization of the Marine Sensitivity Toolkit (MST) and Geospatial Tools</w:t>
      </w:r>
    </w:p>
    <w:p>
      <w:pPr>
        <w:pStyle w:val="FirstParagraph"/>
      </w:pPr>
      <w:r>
        <w:t xml:space="preserve">In Phase 1, we ended up using a DuckDB database to ingest, store and render all the distributions and biodiversity metrics. In Phase 2, we will export these to cloud-optimized GeoTIFFs (COGs) and organize them into spatio-temporal asset catalogs (STACs). This will enable faster rendering in the applications (e.g., see</w:t>
      </w:r>
      <w:r>
        <w:t xml:space="preserve"> </w:t>
      </w:r>
      <w:hyperlink r:id="rId113">
        <w:r>
          <w:rPr>
            <w:rStyle w:val="Hyperlink"/>
          </w:rPr>
          <w:t xml:space="preserve">app: sdm-cog</w:t>
        </w:r>
      </w:hyperlink>
      <w:r>
        <w:t xml:space="preserve">, which uses COGs and the</w:t>
      </w:r>
      <w:r>
        <w:t xml:space="preserve"> </w:t>
      </w:r>
      <w:hyperlink r:id="rId94">
        <w:r>
          <w:rPr>
            <w:rStyle w:val="Hyperlink"/>
          </w:rPr>
          <w:t xml:space="preserve">TiTiler</w:t>
        </w:r>
      </w:hyperlink>
      <w:r>
        <w:t xml:space="preserve"> </w:t>
      </w:r>
      <w:r>
        <w:t xml:space="preserve">API) and easier reuse by the general public (e.g.,</w:t>
      </w:r>
      <w:r>
        <w:t xml:space="preserve"> </w:t>
      </w:r>
      <w:hyperlink r:id="rId114">
        <w:r>
          <w:rPr>
            <w:rStyle w:val="Hyperlink"/>
          </w:rPr>
          <w:t xml:space="preserve">stackstac example</w:t>
        </w:r>
      </w:hyperlink>
      <w:r>
        <w:t xml:space="preserve">). We will also explore</w:t>
      </w:r>
      <w:r>
        <w:t xml:space="preserve"> </w:t>
      </w:r>
      <w:hyperlink r:id="rId115">
        <w:r>
          <w:rPr>
            <w:rStyle w:val="Hyperlink"/>
          </w:rPr>
          <w:t xml:space="preserve">customizing</w:t>
        </w:r>
      </w:hyperlink>
      <w:r>
        <w:t xml:space="preserve"> </w:t>
      </w:r>
      <w:r>
        <w:t xml:space="preserve">our own TiTiler endpoint to generating raster outputs based on various input parameters, such as taxa and stressor. Besides the pixel, we will explore using Uber’s</w:t>
      </w:r>
      <w:r>
        <w:t xml:space="preserve"> </w:t>
      </w:r>
      <w:hyperlink r:id="rId116">
        <w:r>
          <w:rPr>
            <w:rStyle w:val="Hyperlink"/>
          </w:rPr>
          <w:t xml:space="preserve">H3</w:t>
        </w:r>
      </w:hyperlink>
      <w:r>
        <w:t xml:space="preserve"> </w:t>
      </w:r>
      <w:r>
        <w:t xml:space="preserve">hexagons, which are hierachical in nature, and play well with our existing mapping software (mapgl) in that only the hexagon identifier needs to be transmitted to the client and the client library can render the hexagon geometry (e.g.,</w:t>
      </w:r>
      <w:r>
        <w:t xml:space="preserve"> </w:t>
      </w:r>
      <w:hyperlink r:id="rId117">
        <w:r>
          <w:rPr>
            <w:rStyle w:val="Hyperlink"/>
          </w:rPr>
          <w:t xml:space="preserve">H3 Tutorial: Suitability Analysis | Observable</w:t>
        </w:r>
      </w:hyperlink>
      <w:r>
        <w:t xml:space="preserve">). We will also explore using</w:t>
      </w:r>
      <w:r>
        <w:t xml:space="preserve"> </w:t>
      </w:r>
      <w:hyperlink r:id="rId118">
        <w:r>
          <w:rPr>
            <w:rStyle w:val="Hyperlink"/>
          </w:rPr>
          <w:t xml:space="preserve">PMTiles</w:t>
        </w:r>
      </w:hyperlink>
      <w:r>
        <w:t xml:space="preserve">, which also work with our mapping software, to provide easily stored vector tiles (i.e., on S3 or any web server and do not require the PostGIS + pg_tileserv stack or similar) and the ability to join them with arbitrary attribute data for rendering as choropleths. This will be useful for summarizing to any area of interest, as well as visualizing any set of polygons. Finally, we will keep abreast of the ever-changing technical landscape with regards to</w:t>
      </w:r>
      <w:r>
        <w:t xml:space="preserve"> </w:t>
      </w:r>
      <w:hyperlink r:id="rId119">
        <w:r>
          <w:rPr>
            <w:rStyle w:val="Hyperlink"/>
          </w:rPr>
          <w:t xml:space="preserve">Cloud-Optimized Geospatial Formats</w:t>
        </w:r>
      </w:hyperlink>
      <w:r>
        <w:t xml:space="preserve">, and take advantage of new technical possibilities.</w:t>
      </w:r>
    </w:p>
    <w:bookmarkEnd w:id="120"/>
    <w:bookmarkStart w:id="124" w:name="sec-production"/>
    <w:p>
      <w:pPr>
        <w:pStyle w:val="Heading3"/>
      </w:pPr>
      <w:r>
        <w:t xml:space="preserve">Production of Updated Environmental Sensitivity Products</w:t>
      </w:r>
    </w:p>
    <w:p>
      <w:pPr>
        <w:pStyle w:val="FirstParagraph"/>
      </w:pPr>
      <w:r>
        <w:t xml:space="preserve">In Phase 1, these products were communicated through an app (</w:t>
      </w:r>
      <w:hyperlink r:id="rId71">
        <w:r>
          <w:rPr>
            <w:rStyle w:val="Hyperlink"/>
          </w:rPr>
          <w:t xml:space="preserve">app: mapgl</w:t>
        </w:r>
      </w:hyperlink>
      <w:r>
        <w:t xml:space="preserve">) or outputs from various workflows (workflows:</w:t>
      </w:r>
      <w:r>
        <w:t xml:space="preserve"> </w:t>
      </w:r>
      <w:hyperlink r:id="rId121">
        <w:r>
          <w:rPr>
            <w:rStyle w:val="Hyperlink"/>
          </w:rPr>
          <w:t xml:space="preserve">calc_scores</w:t>
        </w:r>
      </w:hyperlink>
      <w:r>
        <w:t xml:space="preserve">,</w:t>
      </w:r>
      <w:r>
        <w:t xml:space="preserve"> </w:t>
      </w:r>
      <w:hyperlink r:id="rId122">
        <w:r>
          <w:rPr>
            <w:rStyle w:val="Hyperlink"/>
          </w:rPr>
          <w:t xml:space="preserve">msens-summary</w:t>
        </w:r>
      </w:hyperlink>
      <w:r>
        <w:t xml:space="preserve">). In Phase 2, functions will be documented into the msens library and outputs will be updated and output as needed based on dependency changes (i.e., a directed acyclic graph (DAG); probably using</w:t>
      </w:r>
      <w:r>
        <w:t xml:space="preserve"> </w:t>
      </w:r>
      <w:hyperlink r:id="rId123">
        <w:r>
          <w:rPr>
            <w:rStyle w:val="Hyperlink"/>
          </w:rPr>
          <w:t xml:space="preserve">targets</w:t>
        </w:r>
      </w:hyperlink>
      <w:r>
        <w:t xml:space="preserve"> </w:t>
      </w:r>
      <w:r>
        <w:t xml:space="preserve">library) formulating a true data pipeline. Formats will be made available in preferred geographic format for vector (e.g., shapefile, geopackage, or geojson), raster (e.g., GeoTIFF, COG) and image format (png, gif, pdf). Masking by Study area will be an option for any spatial output.</w:t>
      </w:r>
    </w:p>
    <w:bookmarkEnd w:id="124"/>
    <w:bookmarkStart w:id="125" w:name="Xfc75795058eda3a20da7fc2ad2a5f75f4c75d17"/>
    <w:p>
      <w:pPr>
        <w:pStyle w:val="Heading3"/>
      </w:pPr>
      <w:r>
        <w:t xml:space="preserve">Development of Decision Support Dashboard and Interactive Application</w:t>
      </w:r>
    </w:p>
    <w:p>
      <w:pPr>
        <w:pStyle w:val="FirstParagraph"/>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p>
      <w:pPr>
        <w:pStyle w:val="BodyText"/>
      </w:pPr>
      <w:r>
        <w:t xml:space="preserve">In Phase 2, the app will be further enhanced to allow for selecting arbitrary areas from a drawn polygon, uploaded shapefile or gazetteer identifier. We will further build out the entire taxonomic tree for each species and allow selection at higher taxonomic classifications for merged products. Other features will be acquired from internal and external user feedback.</w:t>
      </w:r>
    </w:p>
    <w:bookmarkEnd w:id="125"/>
    <w:bookmarkStart w:id="126" w:name="creation-of-comprehensive-data-products"/>
    <w:p>
      <w:pPr>
        <w:pStyle w:val="Heading3"/>
      </w:pPr>
      <w:r>
        <w:t xml:space="preserve">Creation of Comprehensive Data Products</w:t>
      </w:r>
    </w:p>
    <w:p>
      <w:pPr>
        <w:pStyle w:val="FirstParagraph"/>
      </w:pPr>
      <w:r>
        <w:t xml:space="preserve">“We shall create and deliver a range of data products for users, from technical outputs like an API (using R plumber) for technical users to accessible reports detailing the status and trends of key environmental indicators. Model outputs, such as shapefiles and/or geopackages, shall also be provided to BOEM.”</w:t>
      </w:r>
    </w:p>
    <w:p>
      <w:pPr>
        <w:pStyle w:val="BodyText"/>
      </w:pPr>
      <w:r>
        <w:t xml:space="preserve">These data products will include reports that are generated from the latest data and bundled with the latest model outputs in various desired formats. These and archived versions of past iterations will be made available directly through the website. This will be in addition to the programmatic level APIs, made easier to use through functions documented in R libraries with explanatory vignettes.</w:t>
      </w:r>
    </w:p>
    <w:bookmarkEnd w:id="126"/>
    <w:bookmarkStart w:id="128" w:name="reproducibility-and-transparency"/>
    <w:p>
      <w:pPr>
        <w:pStyle w:val="Heading3"/>
      </w:pPr>
      <w:r>
        <w:t xml:space="preserve">Reproducibility and Transparency</w:t>
      </w:r>
    </w:p>
    <w:p>
      <w:pPr>
        <w:pStyle w:val="FirstParagraph"/>
      </w:pPr>
      <w:r>
        <w:t xml:space="preserve">We will continue to ensure that all code are stored in publicly accessible GitHub repositories under</w:t>
      </w:r>
      <w:r>
        <w:t xml:space="preserve"> </w:t>
      </w:r>
      <w:hyperlink r:id="rId127">
        <w:r>
          <w:rPr>
            <w:rStyle w:val="Hyperlink"/>
          </w:rPr>
          <w:t xml:space="preserve">github.com/MarineSensitivity</w:t>
        </w:r>
      </w:hyperlink>
      <w:r>
        <w:t xml:space="preserve"> </w:t>
      </w:r>
      <w:r>
        <w:t xml:space="preserve">built in Phase 1. In Phase 2, the README in each repository will be cleaned up with clearer instructions. Github tags for specific version histories will be added to each repository corresponding with the overall Marine Sensitivity model iteration. Each iteration will be fully reproducible from source data using the DAG approach (see</w:t>
      </w:r>
      <w:r>
        <w:t xml:space="preserve"> </w:t>
      </w:r>
      <w:hyperlink w:anchor="sec-production">
        <w:r>
          <w:rPr>
            <w:rStyle w:val="Hyperlink"/>
          </w:rPr>
          <w:t xml:space="preserve">Section 6.1.3</w:t>
        </w:r>
      </w:hyperlink>
      <w:r>
        <w:t xml:space="preserve">).</w:t>
      </w:r>
    </w:p>
    <w:bookmarkEnd w:id="128"/>
    <w:bookmarkStart w:id="130" w:name="Xaa4a0c48624bb37632363fcc5f0c632e45eacc0"/>
    <w:p>
      <w:pPr>
        <w:pStyle w:val="Heading3"/>
      </w:pPr>
      <w:r>
        <w:t xml:space="preserve">Visualization and Analytical Support for the National Oil and Gas Program</w:t>
      </w:r>
    </w:p>
    <w:p>
      <w:pPr>
        <w:pStyle w:val="FirstParagraph"/>
      </w:pPr>
      <w:r>
        <w:t xml:space="preserve">In Phase 1, map figures were generated largely from screenshots of the web interface. In Phase 2, we will implement automatic generation of high quality static figures, including crisp vector graphics suitable for PDF. Another feature we look forward to implementing in Phase 2 is the</w:t>
      </w:r>
      <w:r>
        <w:t xml:space="preserve"> </w:t>
      </w:r>
      <w:hyperlink r:id="rId129">
        <w:r>
          <w:rPr>
            <w:rStyle w:val="Hyperlink"/>
          </w:rPr>
          <w:t xml:space="preserve">story-maps</w:t>
        </w:r>
      </w:hyperlink>
      <w:r>
        <w:t xml:space="preserve"> </w:t>
      </w:r>
      <w:r>
        <w:t xml:space="preserve">feature. For instance, we can build little explainer apps that scrollytell through map layers to explain model inputs and construction. These explainer apps can be standalone or embedded in the website in a broader context.</w:t>
      </w:r>
    </w:p>
    <w:bookmarkEnd w:id="130"/>
    <w:bookmarkStart w:id="131" w:name="data-and-tool-transfer-to-boem-server"/>
    <w:p>
      <w:pPr>
        <w:pStyle w:val="Heading3"/>
      </w:pPr>
      <w:r>
        <w:t xml:space="preserve">Data and Tool Transfer to BOEM Server</w:t>
      </w:r>
    </w:p>
    <w:p>
      <w:pPr>
        <w:pStyle w:val="FirstParagraph"/>
      </w:pPr>
      <w:r>
        <w:t xml:space="preserve">In Phase 1, we established a server for project use, but technical hurdles prevented its ready use. In Phase 2, we will work through those technical hurdles to make all code and data entirely maintainable internally to BOEM.</w:t>
      </w:r>
    </w:p>
    <w:bookmarkEnd w:id="131"/>
    <w:bookmarkEnd w:id="132"/>
    <w:bookmarkEnd w:id="133"/>
    <w:bookmarkStart w:id="134" w:name="study-products"/>
    <w:p>
      <w:pPr>
        <w:pStyle w:val="Heading1"/>
      </w:pPr>
      <w:r>
        <w:t xml:space="preserve">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34"/>
    <w:bookmarkStart w:id="135" w:name="map-of-study-area"/>
    <w:p>
      <w:pPr>
        <w:pStyle w:val="Heading1"/>
      </w:pPr>
      <w:r>
        <w:t xml:space="preserve">Map of Study Area</w:t>
      </w:r>
    </w:p>
    <w:p>
      <w:pPr>
        <w:pStyle w:val="FirstParagraph"/>
      </w:pPr>
      <w:r>
        <w:t xml:space="preserve">[include here if appropriate and if not already shown in the report]</w:t>
      </w:r>
    </w:p>
    <w:bookmarkEnd w:id="135"/>
    <w:bookmarkStart w:id="139" w:name="references"/>
    <w:p>
      <w:pPr>
        <w:pStyle w:val="Heading1"/>
      </w:pPr>
      <w:r>
        <w:t xml:space="preserve">References</w:t>
      </w:r>
    </w:p>
    <w:bookmarkStart w:id="138" w:name="refs"/>
    <w:bookmarkStart w:id="136"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36"/>
    <w:bookmarkStart w:id="137"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37"/>
    <w:bookmarkEnd w:id="138"/>
    <w:bookmarkEnd w:id="139"/>
    <w:sectPr w:rsidR="0027775B" w:rsidRPr="0027775B" w:rsidSect="00BB64AC">
      <w:footerReference r:id="rId10" w:type="default"/>
      <w:pgSz w:h="15840" w:w="12240"/>
      <w:pgMar w:bottom="1440" w:footer="583" w:gutter="0" w:header="63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ova Cond Light">
    <w:panose1 w:val="020B0306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42A7"/>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C5E64"/>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606A"/>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442C"/>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1" Target="media/rId41.png" /><Relationship Type="http://schemas.openxmlformats.org/officeDocument/2006/relationships/hyperlink" Id="rId95" Target="https://api.marinesensitivity.org/" TargetMode="External" /><Relationship Type="http://schemas.openxmlformats.org/officeDocument/2006/relationships/hyperlink" Id="rId123" Target="https://books.ropensci.org/targets/" TargetMode="External" /><Relationship Type="http://schemas.openxmlformats.org/officeDocument/2006/relationships/hyperlink" Id="rId115" Target="https://developmentseed.org/titiler/advanced/customization/" TargetMode="External" /><Relationship Type="http://schemas.openxmlformats.org/officeDocument/2006/relationships/hyperlink" Id="rId118" Target="https://docs.protomaps.com/" TargetMode="External" /><Relationship Type="http://schemas.openxmlformats.org/officeDocument/2006/relationships/hyperlink" Id="rId127" Target="https://github.com/MarineSensitivity"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121" Target="https://github.com/MarineSensitivity/workflows/blob/main/calc_scores.qmd" TargetMode="External" /><Relationship Type="http://schemas.openxmlformats.org/officeDocument/2006/relationships/hyperlink" Id="rId122" Target="https://github.com/MarineSensitivity/workflows/blob/main/msens-summary_env-national-ocs.qmd" TargetMode="External" /><Relationship Type="http://schemas.openxmlformats.org/officeDocument/2006/relationships/hyperlink" Id="rId99" Target="https://github.com/marinesensitivity/apps" TargetMode="External" /><Relationship Type="http://schemas.openxmlformats.org/officeDocument/2006/relationships/hyperlink" Id="rId119" Target="https://guide.cloudnativegeo.org/"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109" Target="https://obis.org/" TargetMode="External" /><Relationship Type="http://schemas.openxmlformats.org/officeDocument/2006/relationships/hyperlink" Id="rId117" Target="https://observablehq.com/@nrabinowitz/h3-tutorial-suitability-analysis?collection=@nrabinowitz/h3"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113" Target="https://shiny.marinesensitivity.org/sdm-cog/" TargetMode="External" /><Relationship Type="http://schemas.openxmlformats.org/officeDocument/2006/relationships/hyperlink" Id="rId114" Target="https://stackstac.readthedocs.io/en/latest/basic.html"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 Type="http://schemas.openxmlformats.org/officeDocument/2006/relationships/hyperlink" Id="rId129" Target="https://walker-data.com/mapgl/articles/story-maps.html" TargetMode="External" /><Relationship Type="http://schemas.openxmlformats.org/officeDocument/2006/relationships/hyperlink" Id="rId110" Target="https://www.gbif.org/" TargetMode="External" /><Relationship Type="http://schemas.openxmlformats.org/officeDocument/2006/relationships/hyperlink" Id="rId111" Target="https://www.iucnredlist.org/resources/spatial-data-download" TargetMode="External" /><Relationship Type="http://schemas.openxmlformats.org/officeDocument/2006/relationships/hyperlink" Id="rId116" Target="https://www.uber.com/en-IT/blog/h3/" TargetMode="External" /></Relationships>
</file>

<file path=word/_rels/footnotes.xml.rels><?xml version="1.0" encoding="UTF-8"?><Relationships xmlns="http://schemas.openxmlformats.org/package/2006/relationships"><Relationship Type="http://schemas.openxmlformats.org/officeDocument/2006/relationships/hyperlink" Id="rId95" Target="https://api.marinesensitivity.org/" TargetMode="External" /><Relationship Type="http://schemas.openxmlformats.org/officeDocument/2006/relationships/hyperlink" Id="rId123" Target="https://books.ropensci.org/targets/" TargetMode="External" /><Relationship Type="http://schemas.openxmlformats.org/officeDocument/2006/relationships/hyperlink" Id="rId115" Target="https://developmentseed.org/titiler/advanced/customization/" TargetMode="External" /><Relationship Type="http://schemas.openxmlformats.org/officeDocument/2006/relationships/hyperlink" Id="rId118" Target="https://docs.protomaps.com/" TargetMode="External" /><Relationship Type="http://schemas.openxmlformats.org/officeDocument/2006/relationships/hyperlink" Id="rId127" Target="https://github.com/MarineSensitivity"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121" Target="https://github.com/MarineSensitivity/workflows/blob/main/calc_scores.qmd" TargetMode="External" /><Relationship Type="http://schemas.openxmlformats.org/officeDocument/2006/relationships/hyperlink" Id="rId122" Target="https://github.com/MarineSensitivity/workflows/blob/main/msens-summary_env-national-ocs.qmd" TargetMode="External" /><Relationship Type="http://schemas.openxmlformats.org/officeDocument/2006/relationships/hyperlink" Id="rId99" Target="https://github.com/marinesensitivity/apps" TargetMode="External" /><Relationship Type="http://schemas.openxmlformats.org/officeDocument/2006/relationships/hyperlink" Id="rId119" Target="https://guide.cloudnativegeo.org/"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109" Target="https://obis.org/" TargetMode="External" /><Relationship Type="http://schemas.openxmlformats.org/officeDocument/2006/relationships/hyperlink" Id="rId117" Target="https://observablehq.com/@nrabinowitz/h3-tutorial-suitability-analysis?collection=@nrabinowitz/h3"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113" Target="https://shiny.marinesensitivity.org/sdm-cog/" TargetMode="External" /><Relationship Type="http://schemas.openxmlformats.org/officeDocument/2006/relationships/hyperlink" Id="rId114" Target="https://stackstac.readthedocs.io/en/latest/basic.html"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 Type="http://schemas.openxmlformats.org/officeDocument/2006/relationships/hyperlink" Id="rId129" Target="https://walker-data.com/mapgl/articles/story-maps.html" TargetMode="External" /><Relationship Type="http://schemas.openxmlformats.org/officeDocument/2006/relationships/hyperlink" Id="rId110" Target="https://www.gbif.org/" TargetMode="External" /><Relationship Type="http://schemas.openxmlformats.org/officeDocument/2006/relationships/hyperlink" Id="rId111" Target="https://www.iucnredlist.org/resources/spatial-data-download" TargetMode="External" /><Relationship Type="http://schemas.openxmlformats.org/officeDocument/2006/relationships/hyperlink" Id="rId116" Target="https://www.uber.com/en-IT/blog/h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502</Words>
  <Characters>2866</Characters>
  <Application>Microsoft Office Word</Application>
  <DocSecurity>0</DocSecurity>
  <Lines>23</Lines>
  <Paragraphs>6</Paragraphs>
  <ScaleCrop>false</ScaleCrop>
  <Company>DOI BOEM</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Summary</dc:title>
  <dc:creator/>
  <cp:keywords/>
  <dcterms:created xsi:type="dcterms:W3CDTF">2025-09-18T14:45:20Z</dcterms:created>
  <dcterms:modified xsi:type="dcterms:W3CDTF">2025-09-18T14:45:20Z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ibliographystyle">
    <vt:lpwstr>apa</vt:lpwstr>
  </property>
  <property fmtid="{D5CDD505-2E9C-101B-9397-08002B2CF9AE}" pid="5" name="date">
    <vt:lpwstr>2025-09-18 07:45</vt:lpwstr>
  </property>
  <property fmtid="{D5CDD505-2E9C-101B-9397-08002B2CF9AE}" pid="6" name="date-format">
    <vt:lpwstr>YYYY-MM-DD HH:mm</vt:lpwstr>
  </property>
  <property fmtid="{D5CDD505-2E9C-101B-9397-08002B2CF9AE}" pid="7" name="editor">
    <vt:lpwstr>visual</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